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E" w:rsidRDefault="002E549E" w:rsidP="002E5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VYSÁDZANIE</w:t>
      </w:r>
    </w:p>
    <w:p w:rsidR="002E549E" w:rsidRDefault="002E549E" w:rsidP="002E549E">
      <w:pPr>
        <w:jc w:val="center"/>
      </w:pPr>
    </w:p>
    <w:p w:rsidR="002E549E" w:rsidRDefault="002E549E" w:rsidP="002E549E"/>
    <w:p w:rsidR="002E549E" w:rsidRDefault="002E549E" w:rsidP="002E549E">
      <w:pPr>
        <w:rPr>
          <w:lang w:eastAsia="ja-JP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2E549E" w:rsidTr="002E54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9E" w:rsidRDefault="002E549E" w:rsidP="0091232A">
            <w:pPr>
              <w:jc w:val="both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V našich klimatických podmienkach musíme značnú časť zeleninových druhov, najmä teplomilných, pestovať z priesad. Medzi teplomilné zeleniny patria plodové zeleniny (paprika, rajčiaky, uhorky, melóny, tekvice), zeler aj cukrová kukurica. </w:t>
            </w:r>
          </w:p>
          <w:p w:rsidR="002E549E" w:rsidRDefault="002E549E">
            <w:r>
              <w:t xml:space="preserve"> Hĺbka výsadby ovplyvňuje ich ďalší rast. Väčšinu druhov sadíme do takej hĺbky, ako boli predpestované. Plytkú výsadbu si vyžaduje hlávkový šalát a zeler. Hlbšie vysadený šalát často nevytvorí hlávku, pretože srdiečko nie je nad úrovňou pôdy. Hlboko vysadený zeler zle rastie, má malé a deformované buľvy. Naopak hlbšiu výsadbu si vyžaduje pór, ktorý vytvorí dlhšiu bielu konzumnú časť. Hlbšie sadíme tiež rajčiaky, najmä vysoké odrody. </w:t>
            </w:r>
          </w:p>
        </w:tc>
      </w:tr>
    </w:tbl>
    <w:p w:rsidR="002E549E" w:rsidRDefault="002E549E" w:rsidP="002E549E">
      <w:pPr>
        <w:rPr>
          <w:rStyle w:val="ff5fc0fs10"/>
        </w:rPr>
      </w:pPr>
      <w:r>
        <w:rPr>
          <w:rStyle w:val="ff5fc0fs10"/>
        </w:rPr>
        <w:t>Techniku vysádzania volíme podľa spôsobu predpestovania sadiva, veľkosti koreňového balu a stanovišťa, na ktorom budeme vysádzať predpestované rastliny. Sadivo s menším koreňovým balom vysádzame vysadzovacím kolíkom. Pozemok pripravíme podobne, ako            na sejbu a vyznačíme spon. Pri vysádzaní kolíkom urobíme otvor, do neho vložíme korene sadiva po koreňový kŕčik, potom kolík zapichneme ešte raz šikmo trocha ďalej a po celej dĺžke koreňov pritlačíme zeminu k rastline. Vzniknutú jamku zahrabeme. Sadivo s väčším koreňovým balom (črepníkovanú, balíčkovanú alebo zo zakoreňovačov) vysádzame</w:t>
      </w:r>
      <w:r>
        <w:rPr>
          <w:rStyle w:val="ff5fc0fs10fb"/>
        </w:rPr>
        <w:t xml:space="preserve"> vysadzovacou lopatkou.</w:t>
      </w:r>
      <w:r>
        <w:rPr>
          <w:rStyle w:val="ff5fc0fs10"/>
        </w:rPr>
        <w:t xml:space="preserve"> Vyhĺbime jamku, vložíme do nej koreňový bal rastliny, prihrnieme zeminu a pritlačíme. Podobne môžeme vysádzať sadivo do jamiek vyhĺbených motyčkou. Rastliny s veľkým koreňovým balom alebo podpníky pre dreviny vysádzame podľa šnúry           za rýľom. Cibule a hľuzy, niekedy aj drevité odrezky vysádzame do vyoraných brázd. </w:t>
      </w:r>
    </w:p>
    <w:p w:rsidR="002E549E" w:rsidRDefault="002E549E" w:rsidP="002E549E">
      <w:r>
        <w:rPr>
          <w:rStyle w:val="ff5fc0fs10"/>
        </w:rPr>
        <w:t>Sadivo obyčajne vysádzame po koreňový kŕčik, cibule a hľuzy prikryjeme vrstvou zeminy 2—3 razy väčšou, než je výška cibule alebo hľuzy. Vzdialenosť rastlín volíme podľa veľkosti, do akej v plnej dospelosti dorastú a typu mechanizačných prostriedkov, ktorými budeme porast ošetrovať za vegetácie.</w:t>
      </w:r>
      <w:r>
        <w:br/>
        <w:t>v</w:t>
      </w:r>
      <w:r>
        <w:rPr>
          <w:rStyle w:val="ff5fc0fs10"/>
        </w:rPr>
        <w:t>ysadzovače, pluhy, traktory a prívesy na prepravu materiálov), závlahových súprav atď.</w:t>
      </w:r>
    </w:p>
    <w:p w:rsidR="002E549E" w:rsidRDefault="002E549E" w:rsidP="002E549E"/>
    <w:p w:rsidR="002E549E" w:rsidRDefault="002E549E" w:rsidP="002E549E"/>
    <w:p w:rsidR="002E549E" w:rsidRDefault="002E549E" w:rsidP="002E549E"/>
    <w:p w:rsidR="002E549E" w:rsidRDefault="002E549E" w:rsidP="002E549E">
      <w:pPr>
        <w:jc w:val="center"/>
      </w:pPr>
      <w:r>
        <w:rPr>
          <w:lang w:eastAsia="sk-SK"/>
        </w:rPr>
        <w:drawing>
          <wp:inline distT="0" distB="0" distL="0" distR="0">
            <wp:extent cx="4138823" cy="2819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23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9E" w:rsidRDefault="002E549E" w:rsidP="002E549E"/>
    <w:p w:rsidR="002E549E" w:rsidRDefault="002E549E" w:rsidP="002E549E"/>
    <w:p w:rsidR="002E549E" w:rsidRDefault="002E549E" w:rsidP="002E549E">
      <w:pPr>
        <w:pStyle w:val="Normlnywebov"/>
      </w:pPr>
      <w:r>
        <w:lastRenderedPageBreak/>
        <w:t>Orientačné údaje o priesadách na poľné pestovanie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549E" w:rsidTr="002E549E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tbl>
            <w:tblPr>
              <w:tblW w:w="8793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2247"/>
              <w:gridCol w:w="1388"/>
              <w:gridCol w:w="1731"/>
              <w:gridCol w:w="1862"/>
            </w:tblGrid>
            <w:tr w:rsidR="002E549E" w:rsidTr="004D0ECF">
              <w:trPr>
                <w:gridAfter w:val="4"/>
                <w:wAfter w:w="4094" w:type="pct"/>
                <w:trHeight w:val="350"/>
                <w:tblCellSpacing w:w="7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2E549E" w:rsidRDefault="002E549E"/>
              </w:tc>
            </w:tr>
            <w:tr w:rsidR="002E549E" w:rsidTr="004D0ECF">
              <w:trPr>
                <w:trHeight w:val="1092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Druh zeleniny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Spôsob predpestovania priesad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Termín sejby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Čas potrebný na vypestovanie priesad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Množstvo listov pri vysádzaní</w:t>
                  </w:r>
                </w:p>
              </w:tc>
            </w:tr>
            <w:tr w:rsidR="002E549E" w:rsidTr="004D0ECF">
              <w:trPr>
                <w:trHeight w:val="1110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Skorý kaleráb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sejba, resp. rozsádzanie do balíčkov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25.2. – 5.3.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35 - 40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5 - 6</w:t>
                  </w:r>
                </w:p>
              </w:tc>
            </w:tr>
            <w:tr w:rsidR="002E549E" w:rsidTr="004D0ECF">
              <w:trPr>
                <w:trHeight w:val="1092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Skorý karfiol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sejba, resp. rozsádzanie do balíčkov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20.1. – 20.2.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50 - 60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5 - 6</w:t>
                  </w:r>
                </w:p>
              </w:tc>
            </w:tr>
            <w:tr w:rsidR="002E549E" w:rsidTr="004D0ECF">
              <w:trPr>
                <w:trHeight w:val="1092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Skorá kapusta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sejba, resp. rozsádzanie do balíčkov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20.1. – 20. 2.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50 - 60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5 - 6</w:t>
                  </w:r>
                </w:p>
              </w:tc>
            </w:tr>
            <w:tr w:rsidR="002E549E" w:rsidTr="004D0ECF">
              <w:trPr>
                <w:trHeight w:val="1092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Hlávkový šalát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sejba do balíčkov, resp. voľne bez rozsádzania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25.2. – 5.3.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30 - 35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5 - 6</w:t>
                  </w:r>
                </w:p>
                <w:p w:rsidR="002E549E" w:rsidRDefault="002E549E">
                  <w:pPr>
                    <w:pStyle w:val="Normlnywebov"/>
                    <w:jc w:val="center"/>
                  </w:pPr>
                  <w:r>
                    <w:t>4 - 5</w:t>
                  </w:r>
                </w:p>
              </w:tc>
            </w:tr>
            <w:tr w:rsidR="002E549E" w:rsidTr="004D0ECF">
              <w:trPr>
                <w:trHeight w:val="740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Zeler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priama sejba bez rozsádzania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15.2. – 1.3.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75 - 90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4 - 5</w:t>
                  </w:r>
                </w:p>
              </w:tc>
            </w:tr>
            <w:tr w:rsidR="002E549E" w:rsidTr="004D0ECF">
              <w:trPr>
                <w:trHeight w:val="1812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 xml:space="preserve">Paprika </w:t>
                  </w:r>
                  <w:proofErr w:type="spellStart"/>
                  <w:r>
                    <w:t>zel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rozsádzanie do zakoreň., do balíčkov</w:t>
                  </w:r>
                </w:p>
                <w:p w:rsidR="002E549E" w:rsidRDefault="002E549E">
                  <w:pPr>
                    <w:pStyle w:val="Normlnywebov"/>
                  </w:pPr>
                  <w:r>
                    <w:t>priama sejba bez rozsádzania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 w:rsidP="009F5C3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>– 10.3.</w:t>
                  </w:r>
                </w:p>
                <w:p w:rsidR="002E549E" w:rsidRDefault="002E549E">
                  <w:pPr>
                    <w:pStyle w:val="Normlnywebov"/>
                    <w:jc w:val="center"/>
                  </w:pPr>
                  <w:r>
                    <w:t>15. – 25.3.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60 - 65</w:t>
                  </w:r>
                </w:p>
                <w:p w:rsidR="002E549E" w:rsidRDefault="002E549E">
                  <w:pPr>
                    <w:pStyle w:val="Normlnywebov"/>
                    <w:jc w:val="center"/>
                  </w:pPr>
                  <w:r>
                    <w:t>55 - 60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12</w:t>
                  </w:r>
                </w:p>
                <w:p w:rsidR="002E549E" w:rsidRDefault="002E549E">
                  <w:pPr>
                    <w:pStyle w:val="Normlnywebov"/>
                    <w:jc w:val="center"/>
                  </w:pPr>
                  <w:r>
                    <w:t>10</w:t>
                  </w:r>
                </w:p>
              </w:tc>
            </w:tr>
            <w:tr w:rsidR="002E549E" w:rsidTr="004D0ECF">
              <w:trPr>
                <w:trHeight w:val="740"/>
                <w:tblCellSpacing w:w="7" w:type="dxa"/>
              </w:trPr>
              <w:tc>
                <w:tcPr>
                  <w:tcW w:w="883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 xml:space="preserve">Rajčiaky </w:t>
                  </w:r>
                </w:p>
              </w:tc>
              <w:tc>
                <w:tcPr>
                  <w:tcW w:w="1276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</w:pPr>
                  <w:r>
                    <w:t>priama sejba bez rozsádzania</w:t>
                  </w:r>
                </w:p>
              </w:tc>
              <w:tc>
                <w:tcPr>
                  <w:tcW w:w="785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15. – 25. 3.</w:t>
                  </w:r>
                </w:p>
              </w:tc>
              <w:tc>
                <w:tcPr>
                  <w:tcW w:w="981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55 - 60</w:t>
                  </w:r>
                </w:p>
              </w:tc>
              <w:tc>
                <w:tcPr>
                  <w:tcW w:w="1027" w:type="pct"/>
                  <w:shd w:val="clear" w:color="auto" w:fill="FFFFCC"/>
                  <w:hideMark/>
                </w:tcPr>
                <w:p w:rsidR="002E549E" w:rsidRDefault="002E549E">
                  <w:pPr>
                    <w:pStyle w:val="Normlnywebov"/>
                    <w:jc w:val="center"/>
                  </w:pPr>
                  <w:r>
                    <w:t>5 - 6</w:t>
                  </w:r>
                </w:p>
              </w:tc>
            </w:tr>
          </w:tbl>
          <w:p w:rsidR="002E549E" w:rsidRDefault="002E549E"/>
        </w:tc>
      </w:tr>
    </w:tbl>
    <w:p w:rsidR="002E549E" w:rsidRDefault="002E549E" w:rsidP="002E549E"/>
    <w:p w:rsidR="0091232A" w:rsidRPr="0091232A" w:rsidRDefault="0091232A" w:rsidP="002E549E">
      <w:pPr>
        <w:rPr>
          <w:b/>
        </w:rPr>
      </w:pPr>
    </w:p>
    <w:p w:rsidR="002E549E" w:rsidRPr="0091232A" w:rsidRDefault="0091232A" w:rsidP="002E549E">
      <w:pPr>
        <w:rPr>
          <w:b/>
        </w:rPr>
      </w:pPr>
      <w:r w:rsidRPr="0091232A">
        <w:rPr>
          <w:b/>
        </w:rPr>
        <w:t>Domáca úloha:</w:t>
      </w:r>
    </w:p>
    <w:p w:rsidR="0091232A" w:rsidRDefault="0091232A" w:rsidP="002E549E"/>
    <w:p w:rsidR="0091232A" w:rsidRDefault="0091232A" w:rsidP="002E549E">
      <w:r>
        <w:t>Do zošitov zo ZZV si opíšte hrubým písmom zvýraznený text.</w:t>
      </w:r>
    </w:p>
    <w:p w:rsidR="0091232A" w:rsidRDefault="0091232A" w:rsidP="002E549E"/>
    <w:p w:rsidR="002E549E" w:rsidRDefault="002E549E" w:rsidP="002E549E"/>
    <w:p w:rsidR="002E549E" w:rsidRDefault="002E549E" w:rsidP="002E549E">
      <w:bookmarkStart w:id="0" w:name="_GoBack"/>
      <w:bookmarkEnd w:id="0"/>
    </w:p>
    <w:p w:rsidR="002E549E" w:rsidRDefault="002E549E" w:rsidP="002E549E"/>
    <w:p w:rsidR="002E549E" w:rsidRDefault="002E549E" w:rsidP="002E549E"/>
    <w:p w:rsidR="00D0622B" w:rsidRDefault="00D0622B"/>
    <w:sectPr w:rsidR="00D0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C64"/>
    <w:multiLevelType w:val="multilevel"/>
    <w:tmpl w:val="20D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9E"/>
    <w:rsid w:val="002E549E"/>
    <w:rsid w:val="004D0ECF"/>
    <w:rsid w:val="0091232A"/>
    <w:rsid w:val="00D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49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E549E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ff5fc0fs10">
    <w:name w:val="ff5 fc0 fs10"/>
    <w:basedOn w:val="Predvolenpsmoodseku"/>
    <w:rsid w:val="002E549E"/>
  </w:style>
  <w:style w:type="character" w:customStyle="1" w:styleId="ff5fc0fs10fb">
    <w:name w:val="ff5 fc0 fs10 fb"/>
    <w:basedOn w:val="Predvolenpsmoodseku"/>
    <w:rsid w:val="002E549E"/>
  </w:style>
  <w:style w:type="paragraph" w:styleId="Textbubliny">
    <w:name w:val="Balloon Text"/>
    <w:basedOn w:val="Normlny"/>
    <w:link w:val="TextbublinyChar"/>
    <w:uiPriority w:val="99"/>
    <w:semiHidden/>
    <w:unhideWhenUsed/>
    <w:rsid w:val="002E5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49E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49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E549E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ff5fc0fs10">
    <w:name w:val="ff5 fc0 fs10"/>
    <w:basedOn w:val="Predvolenpsmoodseku"/>
    <w:rsid w:val="002E549E"/>
  </w:style>
  <w:style w:type="character" w:customStyle="1" w:styleId="ff5fc0fs10fb">
    <w:name w:val="ff5 fc0 fs10 fb"/>
    <w:basedOn w:val="Predvolenpsmoodseku"/>
    <w:rsid w:val="002E549E"/>
  </w:style>
  <w:style w:type="paragraph" w:styleId="Textbubliny">
    <w:name w:val="Balloon Text"/>
    <w:basedOn w:val="Normlny"/>
    <w:link w:val="TextbublinyChar"/>
    <w:uiPriority w:val="99"/>
    <w:semiHidden/>
    <w:unhideWhenUsed/>
    <w:rsid w:val="002E5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49E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2021-03-23T09:01:00Z</dcterms:created>
  <dcterms:modified xsi:type="dcterms:W3CDTF">2021-03-23T09:07:00Z</dcterms:modified>
</cp:coreProperties>
</file>